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0C31E69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24ACB">
        <w:rPr>
          <w:bCs/>
          <w:noProof w:val="0"/>
          <w:sz w:val="24"/>
          <w:szCs w:val="24"/>
        </w:rPr>
        <w:t>20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5C7CD5">
        <w:rPr>
          <w:bCs/>
          <w:noProof w:val="0"/>
          <w:sz w:val="24"/>
          <w:szCs w:val="24"/>
        </w:rPr>
        <w:t>2</w:t>
      </w:r>
      <w:r w:rsidR="00E17D09" w:rsidRPr="00E17D09">
        <w:rPr>
          <w:bCs/>
          <w:noProof w:val="0"/>
          <w:sz w:val="24"/>
          <w:szCs w:val="24"/>
        </w:rPr>
        <w:t>11551</w:t>
      </w:r>
    </w:p>
    <w:p w14:paraId="11776FA6" w14:textId="573BB077" w:rsidR="00A209D6" w:rsidRPr="00465587" w:rsidRDefault="00824ACB" w:rsidP="00A209D6">
      <w:pPr>
        <w:pStyle w:val="Header"/>
        <w:tabs>
          <w:tab w:val="right" w:pos="9639"/>
        </w:tabs>
        <w:rPr>
          <w:rFonts w:eastAsia="SimSun"/>
          <w:bCs/>
          <w:sz w:val="24"/>
          <w:szCs w:val="24"/>
          <w:lang w:eastAsia="zh-CN"/>
        </w:rPr>
      </w:pPr>
      <w:r>
        <w:rPr>
          <w:rFonts w:eastAsia="SimSun"/>
          <w:bCs/>
          <w:sz w:val="24"/>
          <w:szCs w:val="24"/>
          <w:lang w:eastAsia="zh-CN"/>
        </w:rPr>
        <w:t>Toulouse</w:t>
      </w:r>
      <w:r w:rsidR="00A36F5F" w:rsidRPr="00A36F5F">
        <w:rPr>
          <w:rFonts w:eastAsia="SimSun"/>
          <w:bCs/>
          <w:sz w:val="24"/>
          <w:szCs w:val="24"/>
          <w:lang w:eastAsia="zh-CN"/>
        </w:rPr>
        <w:t xml:space="preserve">, </w:t>
      </w:r>
      <w:r w:rsidR="00E86EC5">
        <w:rPr>
          <w:rFonts w:eastAsia="SimSun"/>
          <w:bCs/>
          <w:sz w:val="24"/>
          <w:szCs w:val="24"/>
          <w:lang w:eastAsia="zh-CN"/>
        </w:rPr>
        <w:t xml:space="preserve">France, </w:t>
      </w:r>
      <w:r w:rsidR="00A17176">
        <w:rPr>
          <w:rFonts w:eastAsia="SimSun"/>
          <w:bCs/>
          <w:sz w:val="24"/>
          <w:szCs w:val="24"/>
          <w:lang w:eastAsia="zh-CN"/>
        </w:rPr>
        <w:t>1</w:t>
      </w:r>
      <w:r>
        <w:rPr>
          <w:rFonts w:eastAsia="SimSun"/>
          <w:bCs/>
          <w:sz w:val="24"/>
          <w:szCs w:val="24"/>
          <w:lang w:eastAsia="zh-CN"/>
        </w:rPr>
        <w:t>4</w:t>
      </w:r>
      <w:r w:rsidR="005C7CD5" w:rsidRPr="005C7CD5">
        <w:rPr>
          <w:rFonts w:eastAsia="SimSun"/>
          <w:bCs/>
          <w:sz w:val="24"/>
          <w:szCs w:val="24"/>
          <w:lang w:eastAsia="zh-CN"/>
        </w:rPr>
        <w:t xml:space="preserve"> – </w:t>
      </w:r>
      <w:r w:rsidR="00A17176">
        <w:rPr>
          <w:rFonts w:eastAsia="SimSun"/>
          <w:bCs/>
          <w:sz w:val="24"/>
          <w:szCs w:val="24"/>
          <w:lang w:eastAsia="zh-CN"/>
        </w:rPr>
        <w:t>1</w:t>
      </w:r>
      <w:r>
        <w:rPr>
          <w:rFonts w:eastAsia="SimSun"/>
          <w:bCs/>
          <w:sz w:val="24"/>
          <w:szCs w:val="24"/>
          <w:lang w:eastAsia="zh-CN"/>
        </w:rPr>
        <w:t>8</w:t>
      </w:r>
      <w:r w:rsidR="005C7CD5" w:rsidRPr="005C7CD5">
        <w:rPr>
          <w:rFonts w:eastAsia="SimSun"/>
          <w:bCs/>
          <w:sz w:val="24"/>
          <w:szCs w:val="24"/>
          <w:lang w:eastAsia="zh-CN"/>
        </w:rPr>
        <w:t xml:space="preserve"> </w:t>
      </w:r>
      <w:r w:rsidR="0061634E">
        <w:rPr>
          <w:rFonts w:eastAsia="SimSun"/>
          <w:bCs/>
          <w:sz w:val="24"/>
          <w:szCs w:val="24"/>
          <w:lang w:eastAsia="zh-CN"/>
        </w:rPr>
        <w:t>November</w:t>
      </w:r>
      <w:r w:rsidR="005C7CD5" w:rsidRPr="005C7CD5">
        <w:rPr>
          <w:rFonts w:eastAsia="SimSun"/>
          <w:bCs/>
          <w:sz w:val="24"/>
          <w:szCs w:val="24"/>
          <w:lang w:eastAsia="zh-CN"/>
        </w:rPr>
        <w:t xml:space="preserve"> 2022</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23492F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24ACB">
        <w:rPr>
          <w:rFonts w:cs="Arial"/>
          <w:b/>
          <w:bCs/>
          <w:sz w:val="24"/>
        </w:rPr>
        <w:t>8</w:t>
      </w:r>
      <w:r>
        <w:rPr>
          <w:rFonts w:cs="Arial"/>
          <w:b/>
          <w:bCs/>
          <w:sz w:val="24"/>
          <w:lang w:eastAsia="ja-JP"/>
        </w:rPr>
        <w:t>.</w:t>
      </w:r>
      <w:r w:rsidR="00824ACB">
        <w:rPr>
          <w:rFonts w:cs="Arial"/>
          <w:b/>
          <w:bCs/>
          <w:sz w:val="24"/>
          <w:lang w:eastAsia="ja-JP"/>
        </w:rPr>
        <w:t>1</w:t>
      </w:r>
      <w:r w:rsidR="00E86EC5">
        <w:rPr>
          <w:rFonts w:cs="Arial"/>
          <w:b/>
          <w:bCs/>
          <w:sz w:val="24"/>
          <w:lang w:eastAsia="ja-JP"/>
        </w:rPr>
        <w:t>2</w:t>
      </w:r>
      <w:r>
        <w:rPr>
          <w:rFonts w:cs="Arial"/>
          <w:b/>
          <w:bCs/>
          <w:sz w:val="24"/>
          <w:lang w:eastAsia="ja-JP"/>
        </w:rPr>
        <w:t>.</w:t>
      </w:r>
      <w:r w:rsidR="00824ACB">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28DE225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D70CE" w:rsidRPr="00AD464C">
        <w:rPr>
          <w:rFonts w:ascii="Arial" w:hAnsi="Arial" w:cs="Arial"/>
          <w:b/>
          <w:bCs/>
          <w:sz w:val="24"/>
        </w:rPr>
        <w:t>IAB</w:t>
      </w:r>
      <w:r w:rsidR="000735A3" w:rsidRPr="00AD464C">
        <w:rPr>
          <w:rFonts w:ascii="Arial" w:hAnsi="Arial" w:cs="Arial"/>
          <w:b/>
          <w:bCs/>
          <w:sz w:val="24"/>
        </w:rPr>
        <w:t xml:space="preserve"> node</w:t>
      </w:r>
      <w:r w:rsidR="001D70CE" w:rsidRPr="00AD464C">
        <w:rPr>
          <w:rFonts w:ascii="Arial" w:hAnsi="Arial" w:cs="Arial"/>
          <w:b/>
          <w:bCs/>
          <w:sz w:val="24"/>
        </w:rPr>
        <w:t xml:space="preserve"> migration</w:t>
      </w:r>
      <w:r w:rsidR="00E86EC5" w:rsidRPr="00AD464C">
        <w:rPr>
          <w:rFonts w:ascii="Arial" w:hAnsi="Arial" w:cs="Arial"/>
          <w:b/>
          <w:bCs/>
          <w:sz w:val="24"/>
        </w:rPr>
        <w:t xml:space="preserve"> with same physical</w:t>
      </w:r>
      <w:r w:rsidR="00E86EC5">
        <w:rPr>
          <w:rFonts w:ascii="Arial" w:hAnsi="Arial" w:cs="Arial"/>
          <w:b/>
          <w:bCs/>
          <w:sz w:val="24"/>
        </w:rPr>
        <w:t xml:space="preserve"> cell</w:t>
      </w:r>
      <w:r w:rsidR="00E86EC5" w:rsidRPr="00AD464C">
        <w:rPr>
          <w:rFonts w:ascii="Arial" w:hAnsi="Arial" w:cs="Arial"/>
          <w:b/>
          <w:bCs/>
          <w:sz w:val="24"/>
        </w:rPr>
        <w:t xml:space="preserve"> resources at logical DUs</w:t>
      </w:r>
    </w:p>
    <w:p w14:paraId="25F387E8" w14:textId="5FC0CE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D70CE" w:rsidRPr="001D70CE">
        <w:rPr>
          <w:rFonts w:ascii="Arial" w:hAnsi="Arial" w:cs="Arial"/>
          <w:b/>
          <w:bCs/>
          <w:sz w:val="24"/>
        </w:rPr>
        <w:t>NR_mobile_IAB</w:t>
      </w:r>
      <w:proofErr w:type="spellEnd"/>
      <w:r w:rsidR="001D70CE" w:rsidRPr="001D70CE">
        <w:rPr>
          <w:rFonts w:ascii="Arial" w:hAnsi="Arial" w:cs="Arial"/>
          <w:b/>
          <w:bCs/>
          <w:sz w:val="24"/>
        </w:rPr>
        <w:t xml:space="preserve">-Core </w:t>
      </w:r>
      <w:r w:rsidR="001D70CE">
        <w:rPr>
          <w:rFonts w:ascii="Arial" w:hAnsi="Arial" w:cs="Arial"/>
          <w:b/>
          <w:bCs/>
          <w:sz w:val="24"/>
        </w:rPr>
        <w:t>-</w:t>
      </w:r>
      <w:r w:rsidR="001D70CE" w:rsidRPr="001D70CE">
        <w:rPr>
          <w:rFonts w:ascii="Arial" w:hAnsi="Arial" w:cs="Arial"/>
          <w:b/>
          <w:bCs/>
          <w:sz w:val="24"/>
        </w:rPr>
        <w:t xml:space="preserve"> Rel</w:t>
      </w:r>
      <w:r w:rsidR="00E17D09">
        <w:rPr>
          <w:rFonts w:ascii="Arial" w:hAnsi="Arial" w:cs="Arial"/>
          <w:b/>
          <w:bCs/>
          <w:sz w:val="24"/>
        </w:rPr>
        <w:t xml:space="preserve">ease </w:t>
      </w:r>
      <w:r w:rsidR="00E17D09" w:rsidRPr="001D70CE">
        <w:rPr>
          <w:rFonts w:ascii="Arial" w:hAnsi="Arial" w:cs="Arial"/>
          <w:b/>
          <w:bCs/>
          <w:sz w:val="24"/>
        </w:rPr>
        <w:t>1</w:t>
      </w:r>
      <w:r w:rsidR="00E17D09">
        <w:rPr>
          <w:rFonts w:ascii="Arial" w:hAnsi="Arial" w:cs="Arial"/>
          <w:b/>
          <w:bCs/>
          <w:sz w:val="24"/>
        </w:rPr>
        <w:t>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BFC013" w14:textId="35DD8D23" w:rsidR="00B1452D" w:rsidRDefault="00F25A00" w:rsidP="009339CB">
      <w:r>
        <w:t xml:space="preserve">After RAN2#119bis-e offline discussion </w:t>
      </w:r>
      <w:hyperlink r:id="rId13" w:history="1">
        <w:r w:rsidR="00886528" w:rsidRPr="00886528">
          <w:rPr>
            <w:rStyle w:val="Hyperlink"/>
          </w:rPr>
          <w:t xml:space="preserve">R2-2211054 </w:t>
        </w:r>
        <w:r w:rsidRPr="00886528">
          <w:rPr>
            <w:rStyle w:val="Hyperlink"/>
          </w:rPr>
          <w:t>[AT119bis-e][022][</w:t>
        </w:r>
        <w:proofErr w:type="spellStart"/>
        <w:r w:rsidRPr="00886528">
          <w:rPr>
            <w:rStyle w:val="Hyperlink"/>
          </w:rPr>
          <w:t>eIAB</w:t>
        </w:r>
        <w:proofErr w:type="spellEnd"/>
        <w:r w:rsidRPr="00886528">
          <w:rPr>
            <w:rStyle w:val="Hyperlink"/>
          </w:rPr>
          <w:t>] Dual Cells LS (AT&amp;T)</w:t>
        </w:r>
      </w:hyperlink>
      <w:r>
        <w:t>, the following agreement was reached</w:t>
      </w:r>
      <w:r w:rsidR="00B1452D">
        <w:t xml:space="preserve"> regarding </w:t>
      </w:r>
      <w:r w:rsidR="00D6217C">
        <w:t>full migration with two logical IAB-</w:t>
      </w:r>
      <w:r w:rsidR="00B1452D">
        <w:t>DU</w:t>
      </w:r>
      <w:r w:rsidR="00D6217C">
        <w:t>s</w:t>
      </w:r>
      <w:r w:rsidR="00B1452D">
        <w:t xml:space="preserve"> </w:t>
      </w:r>
      <w:r w:rsidR="00D6217C">
        <w:t>at the migrating IAB node</w:t>
      </w:r>
      <w:r w:rsidR="00B1452D">
        <w:t>:</w:t>
      </w:r>
    </w:p>
    <w:p w14:paraId="10385705" w14:textId="77777777" w:rsidR="00B1452D" w:rsidRPr="00341B7C" w:rsidRDefault="00B1452D" w:rsidP="00B1452D">
      <w:pPr>
        <w:pStyle w:val="Agreement"/>
        <w:tabs>
          <w:tab w:val="clear" w:pos="9990"/>
        </w:tabs>
        <w:overflowPunct/>
        <w:autoSpaceDE/>
        <w:autoSpaceDN/>
        <w:adjustRightInd/>
        <w:ind w:left="1619" w:hanging="360"/>
        <w:textAlignment w:val="auto"/>
      </w:pPr>
      <w:r w:rsidRPr="00341B7C">
        <w:t xml:space="preserve">RAN2 focuses on the scenario where, during full migration, the UE sees the </w:t>
      </w:r>
      <w:r w:rsidRPr="00341B7C">
        <w:rPr>
          <w:rFonts w:cstheme="minorHAnsi"/>
        </w:rPr>
        <w:t>two logical DU cells as different physical cells (</w:t>
      </w:r>
      <w:proofErr w:type="gramStart"/>
      <w:r w:rsidRPr="00341B7C">
        <w:rPr>
          <w:rFonts w:cstheme="minorHAnsi"/>
        </w:rPr>
        <w:t>e.g.</w:t>
      </w:r>
      <w:proofErr w:type="gramEnd"/>
      <w:r w:rsidRPr="00341B7C">
        <w:rPr>
          <w:rFonts w:cstheme="minorHAnsi"/>
        </w:rPr>
        <w:t xml:space="preserve"> with different PCI if same carrier), and where the two logical DU cells use separate physical resources (i.e., different carriers, or orthogonal time and frequency resources of the same carrier, as supported by legacy L1).</w:t>
      </w:r>
    </w:p>
    <w:p w14:paraId="5C6F248B" w14:textId="77777777" w:rsidR="00B1452D" w:rsidRPr="00341B7C" w:rsidRDefault="00B1452D" w:rsidP="000735A3">
      <w:pPr>
        <w:pStyle w:val="Agreement"/>
        <w:tabs>
          <w:tab w:val="clear" w:pos="9990"/>
        </w:tabs>
        <w:overflowPunct/>
        <w:autoSpaceDE/>
        <w:autoSpaceDN/>
        <w:adjustRightInd/>
        <w:spacing w:after="100" w:afterAutospacing="1"/>
        <w:textAlignment w:val="auto"/>
      </w:pPr>
      <w:r w:rsidRPr="00341B7C">
        <w:t>No LS is needed</w:t>
      </w:r>
    </w:p>
    <w:p w14:paraId="22604B82" w14:textId="1C21C10C" w:rsidR="007F0C7E" w:rsidRDefault="00F25A00" w:rsidP="007F0C7E">
      <w:r>
        <w:t xml:space="preserve"> </w:t>
      </w:r>
      <w:r w:rsidR="00BA7A9D">
        <w:t>Recall that the two scenarios discussed for full migration were:</w:t>
      </w:r>
    </w:p>
    <w:p w14:paraId="633D6CE0" w14:textId="5E634C29" w:rsidR="007F0C7E" w:rsidRDefault="007F0C7E" w:rsidP="007F0C7E">
      <w:pPr>
        <w:pStyle w:val="B1"/>
      </w:pPr>
      <w:r>
        <w:t>-</w:t>
      </w:r>
      <w:r>
        <w:tab/>
      </w:r>
      <w:r w:rsidR="00BA7A9D">
        <w:t>Alt</w:t>
      </w:r>
      <w:r>
        <w:t xml:space="preserve">1: </w:t>
      </w:r>
      <w:r w:rsidR="00F93F22">
        <w:t>The two logical DUs of the migrating IAB node use the separate physical cell resources</w:t>
      </w:r>
      <w:r>
        <w:t>.</w:t>
      </w:r>
    </w:p>
    <w:p w14:paraId="640A3879" w14:textId="0051D4F4" w:rsidR="007F0C7E" w:rsidRDefault="007F0C7E" w:rsidP="00BA7A9D">
      <w:pPr>
        <w:pStyle w:val="B1"/>
      </w:pPr>
      <w:r>
        <w:t>-</w:t>
      </w:r>
      <w:r>
        <w:tab/>
      </w:r>
      <w:r w:rsidR="00BA7A9D">
        <w:t>Alt</w:t>
      </w:r>
      <w:r>
        <w:t xml:space="preserve">2: </w:t>
      </w:r>
      <w:r w:rsidR="00F93F22">
        <w:t>The two logical DUs of the migrating IAB node use the same physical cell resources</w:t>
      </w:r>
      <w:r>
        <w:t>.</w:t>
      </w:r>
    </w:p>
    <w:p w14:paraId="5AAE7B3B" w14:textId="231BE5F6" w:rsidR="000D3262" w:rsidRDefault="00BA7A9D" w:rsidP="009339CB">
      <w:r>
        <w:t>In this contribution we discuss</w:t>
      </w:r>
      <w:r w:rsidR="00F93F22">
        <w:t xml:space="preserve"> explicitly acknowledging that</w:t>
      </w:r>
      <w:r>
        <w:t xml:space="preserve"> scenario Alt2 </w:t>
      </w:r>
      <w:r w:rsidR="00F93F22">
        <w:t>may</w:t>
      </w:r>
      <w:r>
        <w:t xml:space="preserve"> </w:t>
      </w:r>
      <w:r w:rsidR="00F93F22">
        <w:t xml:space="preserve">be handled by </w:t>
      </w:r>
      <w:r>
        <w:t>implementation</w:t>
      </w:r>
      <w:r w:rsidR="00F93F22">
        <w:t xml:space="preserve"> and is not precluded.</w:t>
      </w:r>
    </w:p>
    <w:p w14:paraId="0C6CDAE3" w14:textId="6A2B7011" w:rsidR="00F93F22" w:rsidRPr="006E13D1" w:rsidRDefault="009339CB" w:rsidP="00F93F22">
      <w:pPr>
        <w:pStyle w:val="Heading1"/>
      </w:pPr>
      <w:r w:rsidRPr="006E13D1">
        <w:t>2</w:t>
      </w:r>
      <w:r w:rsidRPr="006E13D1">
        <w:tab/>
      </w:r>
      <w:r w:rsidR="00F93F22">
        <w:t>Discussion</w:t>
      </w:r>
    </w:p>
    <w:p w14:paraId="7D484B6E" w14:textId="10729A7E" w:rsidR="009339CB" w:rsidRDefault="00F93F22" w:rsidP="00F93F22">
      <w:pPr>
        <w:pStyle w:val="Heading2"/>
      </w:pPr>
      <w:r>
        <w:t>2</w:t>
      </w:r>
      <w:r w:rsidRPr="006E13D1">
        <w:t>.1</w:t>
      </w:r>
      <w:r w:rsidRPr="006E13D1">
        <w:tab/>
      </w:r>
      <w:r w:rsidR="00500367">
        <w:t>Dual DUs with same physical cell</w:t>
      </w:r>
      <w:r>
        <w:t xml:space="preserve"> resourc</w:t>
      </w:r>
      <w:r w:rsidR="00500367">
        <w:t>es</w:t>
      </w:r>
    </w:p>
    <w:p w14:paraId="3555BE37" w14:textId="02C46716" w:rsidR="00EC173F" w:rsidRDefault="00EA0969" w:rsidP="00EA0969">
      <w:pPr>
        <w:rPr>
          <w:lang w:val="en-US" w:eastAsia="ja-JP"/>
        </w:rPr>
      </w:pPr>
      <w:r w:rsidRPr="00EA0969">
        <w:rPr>
          <w:lang w:val="en-US" w:eastAsia="ja-JP"/>
        </w:rPr>
        <w:t>In Rel-17</w:t>
      </w:r>
      <w:r w:rsidR="00D94881">
        <w:rPr>
          <w:lang w:val="en-US" w:eastAsia="ja-JP"/>
        </w:rPr>
        <w:t>,</w:t>
      </w:r>
      <w:r w:rsidRPr="00EA0969">
        <w:rPr>
          <w:lang w:val="en-US" w:eastAsia="ja-JP"/>
        </w:rPr>
        <w:t xml:space="preserve"> for </w:t>
      </w:r>
      <w:r w:rsidRPr="00D94881">
        <w:rPr>
          <w:lang w:val="en-US" w:eastAsia="ja-JP"/>
        </w:rPr>
        <w:t>Alt2</w:t>
      </w:r>
      <w:r w:rsidR="00EC173F">
        <w:rPr>
          <w:lang w:val="en-US" w:eastAsia="ja-JP"/>
        </w:rPr>
        <w:t>,</w:t>
      </w:r>
      <w:r w:rsidRPr="00D94881">
        <w:rPr>
          <w:lang w:val="en-US" w:eastAsia="ja-JP"/>
        </w:rPr>
        <w:t xml:space="preserve"> </w:t>
      </w:r>
      <w:r w:rsidRPr="00EA0969">
        <w:rPr>
          <w:lang w:val="en-US" w:eastAsia="ja-JP"/>
        </w:rPr>
        <w:t>RAN</w:t>
      </w:r>
      <w:r w:rsidR="00EC173F">
        <w:rPr>
          <w:lang w:val="en-US" w:eastAsia="ja-JP"/>
        </w:rPr>
        <w:t>1 and RAN</w:t>
      </w:r>
      <w:r w:rsidRPr="00EA0969">
        <w:rPr>
          <w:lang w:val="en-US" w:eastAsia="ja-JP"/>
        </w:rPr>
        <w:t xml:space="preserve">2 </w:t>
      </w:r>
      <w:r w:rsidR="00EC173F">
        <w:rPr>
          <w:lang w:val="en-US" w:eastAsia="ja-JP"/>
        </w:rPr>
        <w:t>made the following observations/</w:t>
      </w:r>
      <w:r w:rsidRPr="00EA0969">
        <w:rPr>
          <w:lang w:val="en-US" w:eastAsia="ja-JP"/>
        </w:rPr>
        <w:t>conclu</w:t>
      </w:r>
      <w:r w:rsidR="00EC173F">
        <w:rPr>
          <w:lang w:val="en-US" w:eastAsia="ja-JP"/>
        </w:rPr>
        <w:t>sions</w:t>
      </w:r>
      <w:r w:rsidR="00D94881">
        <w:rPr>
          <w:lang w:val="en-US" w:eastAsia="ja-JP"/>
        </w:rPr>
        <w:t xml:space="preserve"> in</w:t>
      </w:r>
      <w:r w:rsidR="00EC173F">
        <w:rPr>
          <w:lang w:val="en-US" w:eastAsia="ja-JP"/>
        </w:rPr>
        <w:t xml:space="preserve"> reply LSs sent to RAN3:</w:t>
      </w:r>
    </w:p>
    <w:p w14:paraId="5B459225" w14:textId="77777777" w:rsidR="00EC173F" w:rsidRDefault="00EC173F" w:rsidP="00EC173F">
      <w:pPr>
        <w:rPr>
          <w:lang w:val="en-US" w:eastAsia="ja-JP"/>
        </w:rPr>
      </w:pPr>
      <w:r>
        <w:rPr>
          <w:lang w:val="en-US" w:eastAsia="ja-JP"/>
        </w:rPr>
        <w:t xml:space="preserve">RAN1 to RAN3 in </w:t>
      </w:r>
      <w:hyperlink r:id="rId14" w:history="1">
        <w:r w:rsidRPr="00645E8A">
          <w:rPr>
            <w:rStyle w:val="Hyperlink"/>
            <w:lang w:val="en-US" w:eastAsia="ja-JP"/>
          </w:rPr>
          <w:t>R1-2108529</w:t>
        </w:r>
      </w:hyperlink>
      <w:r w:rsidRPr="00645E8A">
        <w:rPr>
          <w:lang w:val="en-US" w:eastAsia="ja-JP"/>
        </w:rPr>
        <w:t xml:space="preserve"> (Reply LS on Inter-donor migration)</w:t>
      </w:r>
      <w:r>
        <w:rPr>
          <w:lang w:val="en-US" w:eastAsia="ja-JP"/>
        </w:rPr>
        <w:t>:</w:t>
      </w:r>
    </w:p>
    <w:p w14:paraId="170475E0" w14:textId="77777777" w:rsidR="00EC173F" w:rsidRPr="00EC173F" w:rsidRDefault="00EC173F" w:rsidP="00EC173F">
      <w:pPr>
        <w:pStyle w:val="ListParagraph"/>
        <w:numPr>
          <w:ilvl w:val="0"/>
          <w:numId w:val="11"/>
        </w:numPr>
        <w:ind w:left="714" w:hanging="357"/>
        <w:contextualSpacing w:val="0"/>
        <w:rPr>
          <w:lang w:val="en-US" w:eastAsia="ja-JP"/>
        </w:rPr>
      </w:pPr>
      <w:r w:rsidRPr="00EC173F">
        <w:rPr>
          <w:lang w:val="en-US" w:eastAsia="ja-JP"/>
        </w:rPr>
        <w:t>When two cells use the same PCI, this may not necessarily require all the UEs to switch to another cell at one time if RAN2 can confirm that the current specification enables a RRC CONNECTED UE remains connected, while observing the change of NCGI, and no change to the PCI.</w:t>
      </w:r>
    </w:p>
    <w:p w14:paraId="4338208D" w14:textId="4F601495" w:rsidR="00EC173F" w:rsidRPr="00EC173F" w:rsidRDefault="00EC173F" w:rsidP="00EA0969">
      <w:pPr>
        <w:pStyle w:val="ListParagraph"/>
        <w:numPr>
          <w:ilvl w:val="0"/>
          <w:numId w:val="11"/>
        </w:numPr>
        <w:rPr>
          <w:lang w:val="en-US" w:eastAsia="ja-JP"/>
        </w:rPr>
      </w:pPr>
      <w:r w:rsidRPr="00EC173F">
        <w:rPr>
          <w:lang w:val="en-US" w:eastAsia="ja-JP"/>
        </w:rPr>
        <w:t>When two cells use the different PCIs, this will require all the UEs to perform HO to another cell at one time, which pose a high load to RACH.</w:t>
      </w:r>
    </w:p>
    <w:p w14:paraId="40AC4C61" w14:textId="15C860D9" w:rsidR="00D94881" w:rsidRDefault="00EC173F" w:rsidP="00EA0969">
      <w:pPr>
        <w:rPr>
          <w:lang w:val="en-US" w:eastAsia="ja-JP"/>
        </w:rPr>
      </w:pPr>
      <w:r>
        <w:rPr>
          <w:lang w:val="en-US" w:eastAsia="ja-JP"/>
        </w:rPr>
        <w:t>RAN2 to RAN3 in</w:t>
      </w:r>
      <w:r w:rsidR="00D94881">
        <w:rPr>
          <w:lang w:val="en-US" w:eastAsia="ja-JP"/>
        </w:rPr>
        <w:t xml:space="preserve"> </w:t>
      </w:r>
      <w:hyperlink r:id="rId15" w:history="1">
        <w:r w:rsidR="00D94881">
          <w:rPr>
            <w:rStyle w:val="Hyperlink"/>
            <w:lang w:val="en-US" w:eastAsia="ja-JP"/>
          </w:rPr>
          <w:t>R2-2109143</w:t>
        </w:r>
      </w:hyperlink>
      <w:r w:rsidR="00D94881">
        <w:rPr>
          <w:lang w:val="en-US" w:eastAsia="ja-JP"/>
        </w:rPr>
        <w:t xml:space="preserve"> </w:t>
      </w:r>
      <w:r w:rsidR="00D94881" w:rsidRPr="00D94881">
        <w:rPr>
          <w:lang w:val="en-US" w:eastAsia="ja-JP"/>
        </w:rPr>
        <w:t>(Reply LS on Inter-donor migration)</w:t>
      </w:r>
      <w:r w:rsidR="00EA0969" w:rsidRPr="00EA0969">
        <w:rPr>
          <w:lang w:val="en-US" w:eastAsia="ja-JP"/>
        </w:rPr>
        <w:t xml:space="preserve">: </w:t>
      </w:r>
    </w:p>
    <w:p w14:paraId="31D4BE4B" w14:textId="77777777" w:rsidR="00D94881" w:rsidRPr="00D94881" w:rsidRDefault="00D94881" w:rsidP="00D94881">
      <w:pPr>
        <w:pStyle w:val="ListParagraph"/>
        <w:numPr>
          <w:ilvl w:val="0"/>
          <w:numId w:val="11"/>
        </w:numPr>
        <w:rPr>
          <w:lang w:val="en-US" w:eastAsia="ja-JP"/>
        </w:rPr>
      </w:pPr>
      <w:r w:rsidRPr="00D94881">
        <w:rPr>
          <w:lang w:val="en-US" w:eastAsia="ja-JP"/>
        </w:rPr>
        <w:t>On Q1 (“Whether the current specification enables a RRC CONNECTED UE remains connected, while observing the change of NCGI, and no change to the PCI?”), since NCGI is broadcast via SIB1, the change of NCGI can be achieved by updating SIB1. Therefore, RAN2 has not identified any issues for the case of NCGI change without accompanying PCI change.</w:t>
      </w:r>
    </w:p>
    <w:p w14:paraId="339719C2" w14:textId="69CB4CD1" w:rsidR="00D94881" w:rsidRPr="00D94881" w:rsidRDefault="00D94881" w:rsidP="00D94881">
      <w:pPr>
        <w:pStyle w:val="B1"/>
        <w:numPr>
          <w:ilvl w:val="0"/>
          <w:numId w:val="11"/>
        </w:numPr>
      </w:pPr>
      <w:r w:rsidRPr="00D94881">
        <w:lastRenderedPageBreak/>
        <w:t>On Q2 (“Is it possible to use same PCI for cell1 and cell2, and support the HO from cell1 to cell2 without new impact to the UE (</w:t>
      </w:r>
      <w:proofErr w:type="gramStart"/>
      <w:r w:rsidRPr="00D94881">
        <w:t>e.g.</w:t>
      </w:r>
      <w:proofErr w:type="gramEnd"/>
      <w:r w:rsidRPr="00D94881">
        <w:t xml:space="preserve"> a legacy UE)?”), some companies indicate they see no issues with using the same PCI, while some companies raise some concerns including UE behaviour when PCI is not changed</w:t>
      </w:r>
    </w:p>
    <w:p w14:paraId="2DF53BC3" w14:textId="75503484" w:rsidR="00EC173F" w:rsidRDefault="00EC173F" w:rsidP="00C53667">
      <w:pPr>
        <w:rPr>
          <w:lang w:val="en-US" w:eastAsia="ja-JP"/>
        </w:rPr>
      </w:pPr>
      <w:r w:rsidRPr="00C53667">
        <w:rPr>
          <w:b/>
          <w:bCs/>
          <w:lang w:val="en-US" w:eastAsia="ja-JP"/>
        </w:rPr>
        <w:t xml:space="preserve">Observation </w:t>
      </w:r>
      <w:r w:rsidR="000735A3">
        <w:rPr>
          <w:b/>
          <w:bCs/>
          <w:lang w:val="en-US" w:eastAsia="ja-JP"/>
        </w:rPr>
        <w:t>1</w:t>
      </w:r>
      <w:r>
        <w:rPr>
          <w:lang w:val="en-US" w:eastAsia="ja-JP"/>
        </w:rPr>
        <w:t>:</w:t>
      </w:r>
      <w:r w:rsidRPr="00EC173F">
        <w:rPr>
          <w:lang w:val="en-US" w:eastAsia="ja-JP"/>
        </w:rPr>
        <w:t xml:space="preserve"> </w:t>
      </w:r>
      <w:r w:rsidR="00C53667">
        <w:rPr>
          <w:lang w:val="en-US" w:eastAsia="ja-JP"/>
        </w:rPr>
        <w:t xml:space="preserve">In Rel-17, </w:t>
      </w:r>
      <w:r w:rsidRPr="00C53667">
        <w:rPr>
          <w:lang w:val="en-US" w:eastAsia="ja-JP"/>
        </w:rPr>
        <w:t xml:space="preserve">RAN1 did </w:t>
      </w:r>
      <w:r w:rsidRPr="00EC173F">
        <w:rPr>
          <w:lang w:val="en-US" w:eastAsia="ja-JP"/>
        </w:rPr>
        <w:t xml:space="preserve">not preclude the scenario where the </w:t>
      </w:r>
      <w:r>
        <w:rPr>
          <w:lang w:val="en-US" w:eastAsia="ja-JP"/>
        </w:rPr>
        <w:t xml:space="preserve">logical </w:t>
      </w:r>
      <w:r w:rsidRPr="00EC173F">
        <w:rPr>
          <w:lang w:val="en-US" w:eastAsia="ja-JP"/>
        </w:rPr>
        <w:t xml:space="preserve">DUs use the same physical cell resources. </w:t>
      </w:r>
      <w:proofErr w:type="gramStart"/>
      <w:r w:rsidRPr="00EC173F">
        <w:rPr>
          <w:lang w:val="en-US" w:eastAsia="ja-JP"/>
        </w:rPr>
        <w:t>In particular, for</w:t>
      </w:r>
      <w:proofErr w:type="gramEnd"/>
      <w:r w:rsidRPr="00EC173F">
        <w:rPr>
          <w:lang w:val="en-US" w:eastAsia="ja-JP"/>
        </w:rPr>
        <w:t xml:space="preserve"> the scenario where both DUs use the same PCI, RAN1’s only concern was whether UEs could stay in RRC_CONNECTED. </w:t>
      </w:r>
    </w:p>
    <w:p w14:paraId="01918213" w14:textId="6E8494D4" w:rsidR="00C53667" w:rsidRDefault="00EC173F" w:rsidP="00C53667">
      <w:pPr>
        <w:rPr>
          <w:lang w:val="en-US" w:eastAsia="ja-JP"/>
        </w:rPr>
      </w:pPr>
      <w:r w:rsidRPr="00C53667">
        <w:rPr>
          <w:b/>
          <w:bCs/>
          <w:lang w:val="en-US" w:eastAsia="ja-JP"/>
        </w:rPr>
        <w:t xml:space="preserve">Observation </w:t>
      </w:r>
      <w:r w:rsidR="000735A3">
        <w:rPr>
          <w:b/>
          <w:bCs/>
          <w:lang w:val="en-US" w:eastAsia="ja-JP"/>
        </w:rPr>
        <w:t>2</w:t>
      </w:r>
      <w:r>
        <w:rPr>
          <w:lang w:val="en-US" w:eastAsia="ja-JP"/>
        </w:rPr>
        <w:t xml:space="preserve">: </w:t>
      </w:r>
      <w:r w:rsidRPr="00EC173F">
        <w:rPr>
          <w:lang w:val="en-US" w:eastAsia="ja-JP"/>
        </w:rPr>
        <w:t xml:space="preserve">RAN2 </w:t>
      </w:r>
      <w:r w:rsidR="00C53667">
        <w:rPr>
          <w:lang w:val="en-US" w:eastAsia="ja-JP"/>
        </w:rPr>
        <w:t>already concluded</w:t>
      </w:r>
      <w:r w:rsidRPr="00EC173F">
        <w:rPr>
          <w:color w:val="FF0000"/>
          <w:lang w:val="en-US" w:eastAsia="ja-JP"/>
        </w:rPr>
        <w:t xml:space="preserve"> </w:t>
      </w:r>
      <w:r w:rsidRPr="00EC173F">
        <w:rPr>
          <w:lang w:val="en-US" w:eastAsia="ja-JP"/>
        </w:rPr>
        <w:t>that UEs could remain in RRC_CONNECTED</w:t>
      </w:r>
      <w:r w:rsidR="00C53667">
        <w:rPr>
          <w:lang w:val="en-US" w:eastAsia="ja-JP"/>
        </w:rPr>
        <w:t xml:space="preserve"> when the logical DUs use the same PCI, </w:t>
      </w:r>
      <w:proofErr w:type="gramStart"/>
      <w:r w:rsidR="00C53667">
        <w:rPr>
          <w:lang w:val="en-US" w:eastAsia="ja-JP"/>
        </w:rPr>
        <w:t>i.e.</w:t>
      </w:r>
      <w:proofErr w:type="gramEnd"/>
      <w:r w:rsidR="00C53667">
        <w:rPr>
          <w:lang w:val="en-US" w:eastAsia="ja-JP"/>
        </w:rPr>
        <w:t xml:space="preserve"> only the NCGI changes</w:t>
      </w:r>
      <w:r w:rsidRPr="00EC173F">
        <w:rPr>
          <w:lang w:val="en-US" w:eastAsia="ja-JP"/>
        </w:rPr>
        <w:t>.</w:t>
      </w:r>
    </w:p>
    <w:p w14:paraId="316B9896" w14:textId="4CBFBBC2" w:rsidR="00D94881" w:rsidRDefault="00EA0969" w:rsidP="00EA0969">
      <w:pPr>
        <w:rPr>
          <w:lang w:val="en-US" w:eastAsia="ja-JP"/>
        </w:rPr>
      </w:pPr>
      <w:r w:rsidRPr="00EA0969">
        <w:rPr>
          <w:lang w:val="en-US" w:eastAsia="ja-JP"/>
        </w:rPr>
        <w:t xml:space="preserve">From the above, we may say that the Alt2 evaluation in RAN2 </w:t>
      </w:r>
      <w:r w:rsidR="007772EE">
        <w:rPr>
          <w:lang w:val="en-US" w:eastAsia="ja-JP"/>
        </w:rPr>
        <w:t>is not</w:t>
      </w:r>
      <w:r w:rsidRPr="00EA0969">
        <w:rPr>
          <w:lang w:val="en-US" w:eastAsia="ja-JP"/>
        </w:rPr>
        <w:t xml:space="preserve"> comprehensive enough </w:t>
      </w:r>
      <w:r w:rsidR="00D94881">
        <w:rPr>
          <w:lang w:val="en-US" w:eastAsia="ja-JP"/>
        </w:rPr>
        <w:t>to</w:t>
      </w:r>
      <w:r w:rsidR="007772EE">
        <w:rPr>
          <w:lang w:val="en-US" w:eastAsia="ja-JP"/>
        </w:rPr>
        <w:t xml:space="preserve"> entirely</w:t>
      </w:r>
      <w:r w:rsidR="00D94881">
        <w:rPr>
          <w:lang w:val="en-US" w:eastAsia="ja-JP"/>
        </w:rPr>
        <w:t xml:space="preserve"> preclude </w:t>
      </w:r>
      <w:r w:rsidR="007772EE">
        <w:rPr>
          <w:lang w:val="en-US" w:eastAsia="ja-JP"/>
        </w:rPr>
        <w:t>it</w:t>
      </w:r>
      <w:r w:rsidR="00D94881">
        <w:rPr>
          <w:lang w:val="en-US" w:eastAsia="ja-JP"/>
        </w:rPr>
        <w:t xml:space="preserve"> from implementation in</w:t>
      </w:r>
      <w:r w:rsidRPr="00EA0969">
        <w:rPr>
          <w:lang w:val="en-US" w:eastAsia="ja-JP"/>
        </w:rPr>
        <w:t xml:space="preserve"> Rel-18. There were no </w:t>
      </w:r>
      <w:r w:rsidR="003C15AA">
        <w:rPr>
          <w:lang w:val="en-US" w:eastAsia="ja-JP"/>
        </w:rPr>
        <w:t>critical</w:t>
      </w:r>
      <w:r w:rsidRPr="00EA0969">
        <w:rPr>
          <w:lang w:val="en-US" w:eastAsia="ja-JP"/>
        </w:rPr>
        <w:t xml:space="preserve"> technical issues raised that would prevent using the same PCI, only some “concerns”. </w:t>
      </w:r>
      <w:r w:rsidR="005458B7">
        <w:rPr>
          <w:lang w:val="en-US" w:eastAsia="ja-JP"/>
        </w:rPr>
        <w:t xml:space="preserve">Rather, a key reason why companies wished to press forward with Alt1 in Rel-18 was due to time constraints: in particular, lack of TUs allocated to RAN1 for Rel-18 mobile-IAB. </w:t>
      </w:r>
    </w:p>
    <w:p w14:paraId="2641D4F6" w14:textId="43B373FC" w:rsidR="005458B7" w:rsidRDefault="005458B7" w:rsidP="00EA0969">
      <w:pPr>
        <w:rPr>
          <w:lang w:val="en-US" w:eastAsia="ja-JP"/>
        </w:rPr>
      </w:pPr>
      <w:r w:rsidRPr="005458B7">
        <w:rPr>
          <w:b/>
          <w:bCs/>
          <w:lang w:val="en-US" w:eastAsia="ja-JP"/>
        </w:rPr>
        <w:t xml:space="preserve">Observation </w:t>
      </w:r>
      <w:r w:rsidR="000735A3">
        <w:rPr>
          <w:b/>
          <w:bCs/>
          <w:lang w:val="en-US" w:eastAsia="ja-JP"/>
        </w:rPr>
        <w:t>3</w:t>
      </w:r>
      <w:r>
        <w:rPr>
          <w:lang w:val="en-US" w:eastAsia="ja-JP"/>
        </w:rPr>
        <w:t xml:space="preserve">: The scenario where </w:t>
      </w:r>
      <w:r w:rsidR="00375826">
        <w:rPr>
          <w:lang w:val="en-US" w:eastAsia="ja-JP"/>
        </w:rPr>
        <w:t>two</w:t>
      </w:r>
      <w:r>
        <w:rPr>
          <w:lang w:val="en-US" w:eastAsia="ja-JP"/>
        </w:rPr>
        <w:t xml:space="preserve"> logical DUs </w:t>
      </w:r>
      <w:r w:rsidR="00375826">
        <w:rPr>
          <w:lang w:val="en-US" w:eastAsia="ja-JP"/>
        </w:rPr>
        <w:t xml:space="preserve">of the migrating IAB node </w:t>
      </w:r>
      <w:r>
        <w:rPr>
          <w:lang w:val="en-US" w:eastAsia="ja-JP"/>
        </w:rPr>
        <w:t>use the same PCI was not ruled out in Rel-18 based on rigorous technical evaluation.</w:t>
      </w:r>
    </w:p>
    <w:p w14:paraId="1EFF6414" w14:textId="3F31F115" w:rsidR="00D92EC0" w:rsidRDefault="00D92EC0" w:rsidP="006242A8">
      <w:pPr>
        <w:rPr>
          <w:lang w:val="en-US" w:eastAsia="ja-JP"/>
        </w:rPr>
      </w:pPr>
      <w:r w:rsidRPr="6838BEBB">
        <w:rPr>
          <w:lang w:val="en-US" w:eastAsia="ja-JP"/>
        </w:rPr>
        <w:t>In our view, it might still technically be possible to support Alt2 through implementation</w:t>
      </w:r>
      <w:r w:rsidR="7E55D659" w:rsidRPr="6838BEBB">
        <w:rPr>
          <w:lang w:val="en-US" w:eastAsia="ja-JP"/>
        </w:rPr>
        <w:t xml:space="preserve"> as discussed in </w:t>
      </w:r>
      <w:hyperlink r:id="rId16" w:history="1">
        <w:r w:rsidR="008510CF">
          <w:rPr>
            <w:rStyle w:val="Hyperlink"/>
            <w:lang w:val="en-US" w:eastAsia="ja-JP"/>
          </w:rPr>
          <w:t>R2-2210778</w:t>
        </w:r>
      </w:hyperlink>
      <w:r w:rsidRPr="6838BEBB">
        <w:rPr>
          <w:lang w:val="en-US" w:eastAsia="ja-JP"/>
        </w:rPr>
        <w:t xml:space="preserve">.  </w:t>
      </w:r>
    </w:p>
    <w:p w14:paraId="67649AB0" w14:textId="39F34FAA" w:rsidR="00EA0969" w:rsidRDefault="007772EE" w:rsidP="00EA0969">
      <w:pPr>
        <w:rPr>
          <w:lang w:val="en-US" w:eastAsia="ja-JP"/>
        </w:rPr>
      </w:pPr>
      <w:r w:rsidRPr="6838BEBB">
        <w:rPr>
          <w:lang w:val="en-US" w:eastAsia="ja-JP"/>
        </w:rPr>
        <w:t>Finally, we emphasize</w:t>
      </w:r>
      <w:r w:rsidR="00EA0969" w:rsidRPr="6838BEBB">
        <w:rPr>
          <w:lang w:val="en-US" w:eastAsia="ja-JP"/>
        </w:rPr>
        <w:t xml:space="preserve"> </w:t>
      </w:r>
      <w:r w:rsidRPr="6838BEBB">
        <w:rPr>
          <w:lang w:val="en-US" w:eastAsia="ja-JP"/>
        </w:rPr>
        <w:t xml:space="preserve">that </w:t>
      </w:r>
      <w:r w:rsidR="00EA0969" w:rsidRPr="6838BEBB">
        <w:rPr>
          <w:lang w:val="en-US" w:eastAsia="ja-JP"/>
        </w:rPr>
        <w:t xml:space="preserve">sharing the same radio resources for the two logical DUs would optimize the resource utilization without the need to </w:t>
      </w:r>
      <w:r w:rsidR="1BA2A263" w:rsidRPr="6838BEBB">
        <w:rPr>
          <w:lang w:val="en-US" w:eastAsia="ja-JP"/>
        </w:rPr>
        <w:t xml:space="preserve">split resources between the DUs or to </w:t>
      </w:r>
      <w:r w:rsidR="00EA0969" w:rsidRPr="6838BEBB">
        <w:rPr>
          <w:lang w:val="en-US" w:eastAsia="ja-JP"/>
        </w:rPr>
        <w:t xml:space="preserve">reserve </w:t>
      </w:r>
      <w:proofErr w:type="gramStart"/>
      <w:r w:rsidR="00EA0969" w:rsidRPr="6838BEBB">
        <w:rPr>
          <w:lang w:val="en-US" w:eastAsia="ja-JP"/>
        </w:rPr>
        <w:t>e.g.</w:t>
      </w:r>
      <w:proofErr w:type="gramEnd"/>
      <w:r w:rsidR="00EA0969" w:rsidRPr="6838BEBB">
        <w:rPr>
          <w:lang w:val="en-US" w:eastAsia="ja-JP"/>
        </w:rPr>
        <w:t xml:space="preserve"> another carrier just for the migration purposes</w:t>
      </w:r>
      <w:r w:rsidRPr="6838BEBB">
        <w:rPr>
          <w:lang w:val="en-US" w:eastAsia="ja-JP"/>
        </w:rPr>
        <w:t xml:space="preserve">. Although, RAN2 has agreed to focus on the Alt1 scenario in </w:t>
      </w:r>
      <w:r w:rsidR="00EA0969" w:rsidRPr="6838BEBB">
        <w:rPr>
          <w:lang w:val="en-US" w:eastAsia="ja-JP"/>
        </w:rPr>
        <w:t>Rel-18</w:t>
      </w:r>
      <w:r w:rsidRPr="6838BEBB">
        <w:rPr>
          <w:lang w:val="en-US" w:eastAsia="ja-JP"/>
        </w:rPr>
        <w:t xml:space="preserve">, the usage of this solution </w:t>
      </w:r>
      <w:r w:rsidR="00FA3734" w:rsidRPr="6838BEBB">
        <w:rPr>
          <w:lang w:val="en-US" w:eastAsia="ja-JP"/>
        </w:rPr>
        <w:t>could</w:t>
      </w:r>
      <w:r w:rsidRPr="6838BEBB">
        <w:rPr>
          <w:lang w:val="en-US" w:eastAsia="ja-JP"/>
        </w:rPr>
        <w:t xml:space="preserve"> be less resource efficient</w:t>
      </w:r>
      <w:r w:rsidR="00FA3734" w:rsidRPr="6838BEBB">
        <w:rPr>
          <w:lang w:val="en-US" w:eastAsia="ja-JP"/>
        </w:rPr>
        <w:t xml:space="preserve"> than Alt2</w:t>
      </w:r>
      <w:r w:rsidR="003C15AA" w:rsidRPr="6838BEBB">
        <w:rPr>
          <w:lang w:val="en-US" w:eastAsia="ja-JP"/>
        </w:rPr>
        <w:t xml:space="preserve"> (assuming Alt2 can be practically developed)</w:t>
      </w:r>
      <w:r w:rsidRPr="6838BEBB">
        <w:rPr>
          <w:lang w:val="en-US" w:eastAsia="ja-JP"/>
        </w:rPr>
        <w:t xml:space="preserve">. </w:t>
      </w:r>
      <w:r w:rsidR="00FA3734" w:rsidRPr="6838BEBB">
        <w:rPr>
          <w:lang w:val="en-US" w:eastAsia="ja-JP"/>
        </w:rPr>
        <w:t>Therefore, precluding</w:t>
      </w:r>
      <w:r w:rsidRPr="6838BEBB">
        <w:rPr>
          <w:lang w:val="en-US" w:eastAsia="ja-JP"/>
        </w:rPr>
        <w:t xml:space="preserve"> Alt2 </w:t>
      </w:r>
      <w:r w:rsidR="00FA3734" w:rsidRPr="6838BEBB">
        <w:rPr>
          <w:lang w:val="en-US" w:eastAsia="ja-JP"/>
        </w:rPr>
        <w:t xml:space="preserve">from </w:t>
      </w:r>
      <w:r w:rsidRPr="6838BEBB">
        <w:rPr>
          <w:lang w:val="en-US" w:eastAsia="ja-JP"/>
        </w:rPr>
        <w:t xml:space="preserve">implementation </w:t>
      </w:r>
      <w:r w:rsidR="00FA3734" w:rsidRPr="6838BEBB">
        <w:rPr>
          <w:lang w:val="en-US" w:eastAsia="ja-JP"/>
        </w:rPr>
        <w:t>risks precluding</w:t>
      </w:r>
      <w:r w:rsidRPr="6838BEBB">
        <w:rPr>
          <w:lang w:val="en-US" w:eastAsia="ja-JP"/>
        </w:rPr>
        <w:t xml:space="preserve"> </w:t>
      </w:r>
      <w:r w:rsidR="00EA0969" w:rsidRPr="6838BEBB">
        <w:rPr>
          <w:lang w:val="en-US" w:eastAsia="ja-JP"/>
        </w:rPr>
        <w:t xml:space="preserve">a practical mobile IAB solution that is also </w:t>
      </w:r>
      <w:r w:rsidR="00FA3734" w:rsidRPr="6838BEBB">
        <w:rPr>
          <w:lang w:val="en-US" w:eastAsia="ja-JP"/>
        </w:rPr>
        <w:t>beneficial</w:t>
      </w:r>
      <w:r w:rsidR="00EA0969" w:rsidRPr="6838BEBB">
        <w:rPr>
          <w:lang w:val="en-US" w:eastAsia="ja-JP"/>
        </w:rPr>
        <w:t xml:space="preserve"> in real </w:t>
      </w:r>
      <w:r w:rsidR="00FA3734" w:rsidRPr="6838BEBB">
        <w:rPr>
          <w:lang w:val="en-US" w:eastAsia="ja-JP"/>
        </w:rPr>
        <w:t xml:space="preserve">network </w:t>
      </w:r>
      <w:r w:rsidR="00EA0969" w:rsidRPr="6838BEBB">
        <w:rPr>
          <w:lang w:val="en-US" w:eastAsia="ja-JP"/>
        </w:rPr>
        <w:t>deployment scenarios.</w:t>
      </w:r>
    </w:p>
    <w:p w14:paraId="364BBAB4" w14:textId="76B332DB" w:rsidR="00FA3734" w:rsidRDefault="00FA3734" w:rsidP="00EA0969">
      <w:pPr>
        <w:rPr>
          <w:lang w:val="en-US" w:eastAsia="ja-JP"/>
        </w:rPr>
      </w:pPr>
      <w:r w:rsidRPr="000824DC">
        <w:rPr>
          <w:b/>
          <w:bCs/>
          <w:lang w:val="en-US" w:eastAsia="ja-JP"/>
        </w:rPr>
        <w:t xml:space="preserve">Observation </w:t>
      </w:r>
      <w:r w:rsidR="000735A3">
        <w:rPr>
          <w:b/>
          <w:bCs/>
          <w:lang w:val="en-US" w:eastAsia="ja-JP"/>
        </w:rPr>
        <w:t>4</w:t>
      </w:r>
      <w:r>
        <w:rPr>
          <w:lang w:val="en-US" w:eastAsia="ja-JP"/>
        </w:rPr>
        <w:t xml:space="preserve">: </w:t>
      </w:r>
      <w:r w:rsidR="000735A3">
        <w:rPr>
          <w:lang w:val="en-US" w:eastAsia="ja-JP"/>
        </w:rPr>
        <w:t>Assuming it can be handled by implementation, t</w:t>
      </w:r>
      <w:r>
        <w:rPr>
          <w:lang w:val="en-US" w:eastAsia="ja-JP"/>
        </w:rPr>
        <w:t>he scenario where the two logical DUs of the migrating IAB node use the same physical cell resources could provide practical benefits for real network deployments vs the scenario where the logical DUs use separate physical cell resources.</w:t>
      </w:r>
    </w:p>
    <w:p w14:paraId="058A5466" w14:textId="4596E74A" w:rsidR="003C15AA" w:rsidRDefault="003C15AA" w:rsidP="00EA0969">
      <w:pPr>
        <w:rPr>
          <w:lang w:val="en-US" w:eastAsia="ja-JP"/>
        </w:rPr>
      </w:pPr>
      <w:r>
        <w:rPr>
          <w:lang w:val="en-US" w:eastAsia="ja-JP"/>
        </w:rPr>
        <w:t>Noting all the above, we are of the view that the Alt2 scenario should not be precluded from implementation and propose that this is acknowledged.</w:t>
      </w:r>
    </w:p>
    <w:p w14:paraId="4933D820" w14:textId="79FA7A8F" w:rsidR="003C15AA" w:rsidRPr="003C15AA" w:rsidRDefault="003C15AA" w:rsidP="00EA0969">
      <w:pPr>
        <w:rPr>
          <w:b/>
          <w:lang w:val="en-US" w:eastAsia="ja-JP"/>
        </w:rPr>
      </w:pPr>
      <w:r w:rsidRPr="007103E0">
        <w:rPr>
          <w:b/>
          <w:lang w:val="en-US" w:eastAsia="ja-JP"/>
        </w:rPr>
        <w:t xml:space="preserve">Proposal </w:t>
      </w:r>
      <w:r>
        <w:rPr>
          <w:b/>
          <w:lang w:val="en-US" w:eastAsia="ja-JP"/>
        </w:rPr>
        <w:t>1</w:t>
      </w:r>
      <w:r w:rsidRPr="007103E0">
        <w:rPr>
          <w:b/>
          <w:lang w:val="en-US" w:eastAsia="ja-JP"/>
        </w:rPr>
        <w:t xml:space="preserve">: </w:t>
      </w:r>
      <w:r>
        <w:rPr>
          <w:b/>
          <w:lang w:val="en-US" w:eastAsia="ja-JP"/>
        </w:rPr>
        <w:t xml:space="preserve">RAN2 notes that the scenario where the two logical DUs of the migrating IAB node use the same physical cell resources and </w:t>
      </w:r>
      <w:r w:rsidR="00D92EC0">
        <w:rPr>
          <w:b/>
          <w:lang w:val="en-US" w:eastAsia="ja-JP"/>
        </w:rPr>
        <w:t xml:space="preserve">PCI </w:t>
      </w:r>
      <w:r>
        <w:rPr>
          <w:b/>
          <w:lang w:val="en-US" w:eastAsia="ja-JP"/>
        </w:rPr>
        <w:t>is not precluded from implementation</w:t>
      </w:r>
      <w:r w:rsidRPr="007103E0">
        <w:rPr>
          <w:b/>
          <w:lang w:val="en-US" w:eastAsia="ja-JP"/>
        </w:rPr>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7B24E517" w:rsidR="009339CB" w:rsidRPr="006E13D1" w:rsidRDefault="00445351" w:rsidP="009339CB">
      <w:r w:rsidRPr="00445351">
        <w:t>Based on the discussion in this contribution we ma</w:t>
      </w:r>
      <w:r>
        <w:t>d</w:t>
      </w:r>
      <w:r w:rsidRPr="00445351">
        <w:t>e the following</w:t>
      </w:r>
      <w:r>
        <w:t xml:space="preserve"> observations</w:t>
      </w:r>
      <w:r w:rsidR="009339CB">
        <w:t>:</w:t>
      </w:r>
    </w:p>
    <w:p w14:paraId="5A0D6182" w14:textId="77777777" w:rsidR="000735A3" w:rsidRDefault="000735A3" w:rsidP="000735A3">
      <w:pPr>
        <w:rPr>
          <w:lang w:val="en-US" w:eastAsia="ja-JP"/>
        </w:rPr>
      </w:pPr>
      <w:r w:rsidRPr="00C53667">
        <w:rPr>
          <w:b/>
          <w:bCs/>
          <w:lang w:val="en-US" w:eastAsia="ja-JP"/>
        </w:rPr>
        <w:t xml:space="preserve">Observation </w:t>
      </w:r>
      <w:r>
        <w:rPr>
          <w:b/>
          <w:bCs/>
          <w:lang w:val="en-US" w:eastAsia="ja-JP"/>
        </w:rPr>
        <w:t>1</w:t>
      </w:r>
      <w:r>
        <w:rPr>
          <w:lang w:val="en-US" w:eastAsia="ja-JP"/>
        </w:rPr>
        <w:t>:</w:t>
      </w:r>
      <w:r w:rsidRPr="00EC173F">
        <w:rPr>
          <w:lang w:val="en-US" w:eastAsia="ja-JP"/>
        </w:rPr>
        <w:t xml:space="preserve"> </w:t>
      </w:r>
      <w:r>
        <w:rPr>
          <w:lang w:val="en-US" w:eastAsia="ja-JP"/>
        </w:rPr>
        <w:t xml:space="preserve">In Rel-17, </w:t>
      </w:r>
      <w:r w:rsidRPr="00C53667">
        <w:rPr>
          <w:lang w:val="en-US" w:eastAsia="ja-JP"/>
        </w:rPr>
        <w:t xml:space="preserve">RAN1 did </w:t>
      </w:r>
      <w:r w:rsidRPr="00EC173F">
        <w:rPr>
          <w:lang w:val="en-US" w:eastAsia="ja-JP"/>
        </w:rPr>
        <w:t xml:space="preserve">not preclude the scenario where the </w:t>
      </w:r>
      <w:r>
        <w:rPr>
          <w:lang w:val="en-US" w:eastAsia="ja-JP"/>
        </w:rPr>
        <w:t xml:space="preserve">logical </w:t>
      </w:r>
      <w:r w:rsidRPr="00EC173F">
        <w:rPr>
          <w:lang w:val="en-US" w:eastAsia="ja-JP"/>
        </w:rPr>
        <w:t xml:space="preserve">DUs use the same physical cell resources. </w:t>
      </w:r>
      <w:proofErr w:type="gramStart"/>
      <w:r w:rsidRPr="00EC173F">
        <w:rPr>
          <w:lang w:val="en-US" w:eastAsia="ja-JP"/>
        </w:rPr>
        <w:t>In particular, for</w:t>
      </w:r>
      <w:proofErr w:type="gramEnd"/>
      <w:r w:rsidRPr="00EC173F">
        <w:rPr>
          <w:lang w:val="en-US" w:eastAsia="ja-JP"/>
        </w:rPr>
        <w:t xml:space="preserve"> the scenario where both DUs use the same PCI, RAN1’s only concern was whether UEs could stay in RRC_CONNECTED. </w:t>
      </w:r>
    </w:p>
    <w:p w14:paraId="4E629344" w14:textId="77777777" w:rsidR="000735A3" w:rsidRDefault="000735A3" w:rsidP="000735A3">
      <w:pPr>
        <w:rPr>
          <w:lang w:val="en-US" w:eastAsia="ja-JP"/>
        </w:rPr>
      </w:pPr>
      <w:r w:rsidRPr="00C53667">
        <w:rPr>
          <w:b/>
          <w:bCs/>
          <w:lang w:val="en-US" w:eastAsia="ja-JP"/>
        </w:rPr>
        <w:t xml:space="preserve">Observation </w:t>
      </w:r>
      <w:r>
        <w:rPr>
          <w:b/>
          <w:bCs/>
          <w:lang w:val="en-US" w:eastAsia="ja-JP"/>
        </w:rPr>
        <w:t>2</w:t>
      </w:r>
      <w:r>
        <w:rPr>
          <w:lang w:val="en-US" w:eastAsia="ja-JP"/>
        </w:rPr>
        <w:t xml:space="preserve">: </w:t>
      </w:r>
      <w:r w:rsidRPr="00EC173F">
        <w:rPr>
          <w:lang w:val="en-US" w:eastAsia="ja-JP"/>
        </w:rPr>
        <w:t xml:space="preserve">RAN2 </w:t>
      </w:r>
      <w:r>
        <w:rPr>
          <w:lang w:val="en-US" w:eastAsia="ja-JP"/>
        </w:rPr>
        <w:t>already concluded</w:t>
      </w:r>
      <w:r w:rsidRPr="00EC173F">
        <w:rPr>
          <w:color w:val="FF0000"/>
          <w:lang w:val="en-US" w:eastAsia="ja-JP"/>
        </w:rPr>
        <w:t xml:space="preserve"> </w:t>
      </w:r>
      <w:r w:rsidRPr="00EC173F">
        <w:rPr>
          <w:lang w:val="en-US" w:eastAsia="ja-JP"/>
        </w:rPr>
        <w:t>that UEs could remain in RRC_CONNECTED</w:t>
      </w:r>
      <w:r>
        <w:rPr>
          <w:lang w:val="en-US" w:eastAsia="ja-JP"/>
        </w:rPr>
        <w:t xml:space="preserve"> when the logical DUs use the same PCI, </w:t>
      </w:r>
      <w:proofErr w:type="gramStart"/>
      <w:r>
        <w:rPr>
          <w:lang w:val="en-US" w:eastAsia="ja-JP"/>
        </w:rPr>
        <w:t>i.e.</w:t>
      </w:r>
      <w:proofErr w:type="gramEnd"/>
      <w:r>
        <w:rPr>
          <w:lang w:val="en-US" w:eastAsia="ja-JP"/>
        </w:rPr>
        <w:t xml:space="preserve"> only the NCGI changes</w:t>
      </w:r>
      <w:r w:rsidRPr="00EC173F">
        <w:rPr>
          <w:lang w:val="en-US" w:eastAsia="ja-JP"/>
        </w:rPr>
        <w:t>.</w:t>
      </w:r>
    </w:p>
    <w:p w14:paraId="36B865C8" w14:textId="193CA82D" w:rsidR="000735A3" w:rsidRDefault="000735A3" w:rsidP="000735A3">
      <w:pPr>
        <w:rPr>
          <w:lang w:val="en-US" w:eastAsia="ja-JP"/>
        </w:rPr>
      </w:pPr>
      <w:r w:rsidRPr="005458B7">
        <w:rPr>
          <w:b/>
          <w:bCs/>
          <w:lang w:val="en-US" w:eastAsia="ja-JP"/>
        </w:rPr>
        <w:t xml:space="preserve">Observation </w:t>
      </w:r>
      <w:r>
        <w:rPr>
          <w:b/>
          <w:bCs/>
          <w:lang w:val="en-US" w:eastAsia="ja-JP"/>
        </w:rPr>
        <w:t>3</w:t>
      </w:r>
      <w:r>
        <w:rPr>
          <w:lang w:val="en-US" w:eastAsia="ja-JP"/>
        </w:rPr>
        <w:t>: The scenario where two logical DUs of the migrating IAB node use the same PCI was not ruled out in Rel-18 based on rigorous technical evaluation.</w:t>
      </w:r>
    </w:p>
    <w:p w14:paraId="5B256779" w14:textId="77777777" w:rsidR="000735A3" w:rsidRDefault="000735A3" w:rsidP="000735A3">
      <w:pPr>
        <w:rPr>
          <w:lang w:val="en-US" w:eastAsia="ja-JP"/>
        </w:rPr>
      </w:pPr>
      <w:r w:rsidRPr="000824DC">
        <w:rPr>
          <w:b/>
          <w:bCs/>
          <w:lang w:val="en-US" w:eastAsia="ja-JP"/>
        </w:rPr>
        <w:t xml:space="preserve">Observation </w:t>
      </w:r>
      <w:r>
        <w:rPr>
          <w:b/>
          <w:bCs/>
          <w:lang w:val="en-US" w:eastAsia="ja-JP"/>
        </w:rPr>
        <w:t>4</w:t>
      </w:r>
      <w:r>
        <w:rPr>
          <w:lang w:val="en-US" w:eastAsia="ja-JP"/>
        </w:rPr>
        <w:t>: Assuming it can be handled by implementation, the scenario where the two logical DUs of the migrating IAB node use the same physical cell resources could provide practical benefits for real network deployments vs the scenario where the logical DUs use separate physical cell resources.</w:t>
      </w:r>
    </w:p>
    <w:p w14:paraId="3BE72BE2" w14:textId="77777777" w:rsidR="009339CB" w:rsidRPr="004F4540" w:rsidRDefault="009339CB" w:rsidP="009339CB">
      <w:pPr>
        <w:rPr>
          <w:bCs/>
        </w:rPr>
      </w:pPr>
      <w:r>
        <w:rPr>
          <w:bCs/>
        </w:rPr>
        <w:t>And proposed the following:</w:t>
      </w:r>
    </w:p>
    <w:p w14:paraId="35F222F4" w14:textId="470C934D" w:rsidR="00080512" w:rsidRPr="000735A3" w:rsidRDefault="00445351" w:rsidP="009339CB">
      <w:pPr>
        <w:rPr>
          <w:b/>
          <w:lang w:val="en-US" w:eastAsia="ja-JP"/>
        </w:rPr>
      </w:pPr>
      <w:r w:rsidRPr="007103E0">
        <w:rPr>
          <w:b/>
          <w:lang w:val="en-US" w:eastAsia="ja-JP"/>
        </w:rPr>
        <w:t xml:space="preserve">Proposal </w:t>
      </w:r>
      <w:r>
        <w:rPr>
          <w:b/>
          <w:lang w:val="en-US" w:eastAsia="ja-JP"/>
        </w:rPr>
        <w:t>1</w:t>
      </w:r>
      <w:r w:rsidRPr="007103E0">
        <w:rPr>
          <w:b/>
          <w:lang w:val="en-US" w:eastAsia="ja-JP"/>
        </w:rPr>
        <w:t xml:space="preserve">: </w:t>
      </w:r>
      <w:r w:rsidR="00BB7DD6">
        <w:rPr>
          <w:b/>
          <w:lang w:val="en-US" w:eastAsia="ja-JP"/>
        </w:rPr>
        <w:t xml:space="preserve">RAN2 notes that the scenario where the two logical DUs of the migrating IAB node use the same physical resources </w:t>
      </w:r>
      <w:r w:rsidR="00E17D09">
        <w:rPr>
          <w:b/>
          <w:lang w:val="en-US" w:eastAsia="ja-JP"/>
        </w:rPr>
        <w:t xml:space="preserve">and PCI </w:t>
      </w:r>
      <w:r w:rsidR="00BB7DD6">
        <w:rPr>
          <w:b/>
          <w:lang w:val="en-US" w:eastAsia="ja-JP"/>
        </w:rPr>
        <w:t>is not precluded from implementation</w:t>
      </w:r>
      <w:r w:rsidRPr="007103E0">
        <w:rPr>
          <w:b/>
          <w:lang w:val="en-US" w:eastAsia="ja-JP"/>
        </w:rPr>
        <w:t xml:space="preserve">. </w:t>
      </w:r>
    </w:p>
    <w:sectPr w:rsidR="00080512" w:rsidRPr="000735A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F258E" w14:textId="77777777" w:rsidR="006D2F51" w:rsidRDefault="006D2F51">
      <w:r>
        <w:separator/>
      </w:r>
    </w:p>
  </w:endnote>
  <w:endnote w:type="continuationSeparator" w:id="0">
    <w:p w14:paraId="23408EB0" w14:textId="77777777" w:rsidR="006D2F51" w:rsidRDefault="006D2F51">
      <w:r>
        <w:continuationSeparator/>
      </w:r>
    </w:p>
  </w:endnote>
  <w:endnote w:type="continuationNotice" w:id="1">
    <w:p w14:paraId="0FD69FF7" w14:textId="77777777" w:rsidR="006D2F51" w:rsidRDefault="006D2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CF873" w14:textId="77777777" w:rsidR="006D2F51" w:rsidRDefault="006D2F51">
      <w:r>
        <w:separator/>
      </w:r>
    </w:p>
  </w:footnote>
  <w:footnote w:type="continuationSeparator" w:id="0">
    <w:p w14:paraId="2454DA41" w14:textId="77777777" w:rsidR="006D2F51" w:rsidRDefault="006D2F51">
      <w:r>
        <w:continuationSeparator/>
      </w:r>
    </w:p>
  </w:footnote>
  <w:footnote w:type="continuationNotice" w:id="1">
    <w:p w14:paraId="1C3D509C" w14:textId="77777777" w:rsidR="006D2F51" w:rsidRDefault="006D2F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AA5253"/>
    <w:multiLevelType w:val="hybridMultilevel"/>
    <w:tmpl w:val="74345666"/>
    <w:lvl w:ilvl="0" w:tplc="354AE4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F922DD3"/>
    <w:multiLevelType w:val="hybridMultilevel"/>
    <w:tmpl w:val="72104BEC"/>
    <w:lvl w:ilvl="0" w:tplc="5C6C2CFC">
      <w:numFmt w:val="bullet"/>
      <w:lvlText w:val="-"/>
      <w:lvlJc w:val="left"/>
      <w:pPr>
        <w:ind w:left="644" w:hanging="360"/>
      </w:pPr>
      <w:rPr>
        <w:rFonts w:ascii="Times New Roman" w:eastAsia="Times New Roman" w:hAnsi="Times New Roman" w:cs="Times New Roman" w:hint="default"/>
      </w:rPr>
    </w:lvl>
    <w:lvl w:ilvl="1" w:tplc="A6187904">
      <w:start w:val="22"/>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3"/>
  </w:num>
  <w:num w:numId="9">
    <w:abstractNumId w:val="8"/>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5268"/>
    <w:rsid w:val="000735A3"/>
    <w:rsid w:val="00073C9C"/>
    <w:rsid w:val="00076412"/>
    <w:rsid w:val="00080512"/>
    <w:rsid w:val="000824DC"/>
    <w:rsid w:val="00090468"/>
    <w:rsid w:val="00094568"/>
    <w:rsid w:val="000B7BCF"/>
    <w:rsid w:val="000C522B"/>
    <w:rsid w:val="000D3262"/>
    <w:rsid w:val="000D58AB"/>
    <w:rsid w:val="00112F1A"/>
    <w:rsid w:val="00145075"/>
    <w:rsid w:val="001741A0"/>
    <w:rsid w:val="00175FA0"/>
    <w:rsid w:val="00194CD0"/>
    <w:rsid w:val="001A4988"/>
    <w:rsid w:val="001B49C9"/>
    <w:rsid w:val="001C23F4"/>
    <w:rsid w:val="001C4F79"/>
    <w:rsid w:val="001D70CE"/>
    <w:rsid w:val="001F168B"/>
    <w:rsid w:val="001F7831"/>
    <w:rsid w:val="00204045"/>
    <w:rsid w:val="0020712B"/>
    <w:rsid w:val="0022606D"/>
    <w:rsid w:val="00231728"/>
    <w:rsid w:val="00244A05"/>
    <w:rsid w:val="00250404"/>
    <w:rsid w:val="00256B74"/>
    <w:rsid w:val="002610D8"/>
    <w:rsid w:val="00261877"/>
    <w:rsid w:val="002747EC"/>
    <w:rsid w:val="002855BF"/>
    <w:rsid w:val="002B2988"/>
    <w:rsid w:val="002F0D22"/>
    <w:rsid w:val="00311B17"/>
    <w:rsid w:val="003172DC"/>
    <w:rsid w:val="00325AE3"/>
    <w:rsid w:val="00326069"/>
    <w:rsid w:val="0035462D"/>
    <w:rsid w:val="0036459E"/>
    <w:rsid w:val="00364B41"/>
    <w:rsid w:val="00375826"/>
    <w:rsid w:val="00383096"/>
    <w:rsid w:val="0039346C"/>
    <w:rsid w:val="003A41EF"/>
    <w:rsid w:val="003B40AD"/>
    <w:rsid w:val="003C15AA"/>
    <w:rsid w:val="003C4E37"/>
    <w:rsid w:val="003E16BE"/>
    <w:rsid w:val="003F4E28"/>
    <w:rsid w:val="004006E8"/>
    <w:rsid w:val="00401855"/>
    <w:rsid w:val="00445351"/>
    <w:rsid w:val="00446C3A"/>
    <w:rsid w:val="00465587"/>
    <w:rsid w:val="00477455"/>
    <w:rsid w:val="004955AF"/>
    <w:rsid w:val="004A1F7B"/>
    <w:rsid w:val="004B538D"/>
    <w:rsid w:val="004C44D2"/>
    <w:rsid w:val="004C6008"/>
    <w:rsid w:val="004D3578"/>
    <w:rsid w:val="004D380D"/>
    <w:rsid w:val="004E213A"/>
    <w:rsid w:val="004F4540"/>
    <w:rsid w:val="004F73A7"/>
    <w:rsid w:val="00500367"/>
    <w:rsid w:val="00503171"/>
    <w:rsid w:val="00506C28"/>
    <w:rsid w:val="00506DEA"/>
    <w:rsid w:val="00534DA0"/>
    <w:rsid w:val="00543E6C"/>
    <w:rsid w:val="005458B7"/>
    <w:rsid w:val="00565087"/>
    <w:rsid w:val="0056573F"/>
    <w:rsid w:val="00567872"/>
    <w:rsid w:val="00571279"/>
    <w:rsid w:val="005A13AB"/>
    <w:rsid w:val="005A49C6"/>
    <w:rsid w:val="005C766E"/>
    <w:rsid w:val="005C7CD5"/>
    <w:rsid w:val="005F54D5"/>
    <w:rsid w:val="00602E42"/>
    <w:rsid w:val="00611566"/>
    <w:rsid w:val="0061634E"/>
    <w:rsid w:val="006242A8"/>
    <w:rsid w:val="00645E8A"/>
    <w:rsid w:val="00646D99"/>
    <w:rsid w:val="00656910"/>
    <w:rsid w:val="006574C0"/>
    <w:rsid w:val="00696821"/>
    <w:rsid w:val="006A0CEB"/>
    <w:rsid w:val="006C66D8"/>
    <w:rsid w:val="006D1E24"/>
    <w:rsid w:val="006D2F51"/>
    <w:rsid w:val="006D35DE"/>
    <w:rsid w:val="006E1057"/>
    <w:rsid w:val="006E1417"/>
    <w:rsid w:val="006F6A2C"/>
    <w:rsid w:val="007069DC"/>
    <w:rsid w:val="00710201"/>
    <w:rsid w:val="0072073A"/>
    <w:rsid w:val="007342B5"/>
    <w:rsid w:val="00734A5B"/>
    <w:rsid w:val="00744E76"/>
    <w:rsid w:val="00757D40"/>
    <w:rsid w:val="007662B5"/>
    <w:rsid w:val="007772EE"/>
    <w:rsid w:val="00781F0F"/>
    <w:rsid w:val="0078727C"/>
    <w:rsid w:val="0079049D"/>
    <w:rsid w:val="00793DC5"/>
    <w:rsid w:val="00796823"/>
    <w:rsid w:val="007A2E55"/>
    <w:rsid w:val="007B18D8"/>
    <w:rsid w:val="007C095F"/>
    <w:rsid w:val="007C2DD0"/>
    <w:rsid w:val="007F0C7E"/>
    <w:rsid w:val="007F2E08"/>
    <w:rsid w:val="008024FA"/>
    <w:rsid w:val="008028A4"/>
    <w:rsid w:val="00813245"/>
    <w:rsid w:val="00824ACB"/>
    <w:rsid w:val="00840DE0"/>
    <w:rsid w:val="00847CD0"/>
    <w:rsid w:val="008510CF"/>
    <w:rsid w:val="008607A8"/>
    <w:rsid w:val="0086354A"/>
    <w:rsid w:val="008768CA"/>
    <w:rsid w:val="00877EF9"/>
    <w:rsid w:val="00880559"/>
    <w:rsid w:val="00886528"/>
    <w:rsid w:val="008B5306"/>
    <w:rsid w:val="008C2E2A"/>
    <w:rsid w:val="008C3057"/>
    <w:rsid w:val="008D2E4D"/>
    <w:rsid w:val="008F396F"/>
    <w:rsid w:val="008F3DCD"/>
    <w:rsid w:val="0090271F"/>
    <w:rsid w:val="00902DB9"/>
    <w:rsid w:val="0090466A"/>
    <w:rsid w:val="00923655"/>
    <w:rsid w:val="009339CB"/>
    <w:rsid w:val="00936071"/>
    <w:rsid w:val="009376CD"/>
    <w:rsid w:val="00940212"/>
    <w:rsid w:val="00942EC2"/>
    <w:rsid w:val="00952128"/>
    <w:rsid w:val="00961B32"/>
    <w:rsid w:val="00962509"/>
    <w:rsid w:val="00970DB3"/>
    <w:rsid w:val="00974BB0"/>
    <w:rsid w:val="00975BCD"/>
    <w:rsid w:val="009928A9"/>
    <w:rsid w:val="009A0AF3"/>
    <w:rsid w:val="009B07CD"/>
    <w:rsid w:val="009C19E9"/>
    <w:rsid w:val="009D74A6"/>
    <w:rsid w:val="009E0E87"/>
    <w:rsid w:val="009E759B"/>
    <w:rsid w:val="00A10F02"/>
    <w:rsid w:val="00A17176"/>
    <w:rsid w:val="00A204CA"/>
    <w:rsid w:val="00A209D6"/>
    <w:rsid w:val="00A22738"/>
    <w:rsid w:val="00A36F5F"/>
    <w:rsid w:val="00A430EC"/>
    <w:rsid w:val="00A53724"/>
    <w:rsid w:val="00A54B2B"/>
    <w:rsid w:val="00A703B6"/>
    <w:rsid w:val="00A82346"/>
    <w:rsid w:val="00A9671C"/>
    <w:rsid w:val="00AA1553"/>
    <w:rsid w:val="00AA6378"/>
    <w:rsid w:val="00AD464C"/>
    <w:rsid w:val="00AF1555"/>
    <w:rsid w:val="00B05380"/>
    <w:rsid w:val="00B05962"/>
    <w:rsid w:val="00B1452D"/>
    <w:rsid w:val="00B15449"/>
    <w:rsid w:val="00B16C2F"/>
    <w:rsid w:val="00B27303"/>
    <w:rsid w:val="00B47FD1"/>
    <w:rsid w:val="00B516BB"/>
    <w:rsid w:val="00B7538C"/>
    <w:rsid w:val="00B84DB2"/>
    <w:rsid w:val="00BA51D9"/>
    <w:rsid w:val="00BA7A9D"/>
    <w:rsid w:val="00BB7DD6"/>
    <w:rsid w:val="00BC3555"/>
    <w:rsid w:val="00BF0626"/>
    <w:rsid w:val="00C12B51"/>
    <w:rsid w:val="00C24650"/>
    <w:rsid w:val="00C25465"/>
    <w:rsid w:val="00C32AA2"/>
    <w:rsid w:val="00C33079"/>
    <w:rsid w:val="00C53667"/>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17C"/>
    <w:rsid w:val="00D62E19"/>
    <w:rsid w:val="00D67CD1"/>
    <w:rsid w:val="00D738D6"/>
    <w:rsid w:val="00D80795"/>
    <w:rsid w:val="00D854BE"/>
    <w:rsid w:val="00D87E00"/>
    <w:rsid w:val="00D9134D"/>
    <w:rsid w:val="00D92EC0"/>
    <w:rsid w:val="00D94881"/>
    <w:rsid w:val="00D96D11"/>
    <w:rsid w:val="00DA7A03"/>
    <w:rsid w:val="00DB0DB8"/>
    <w:rsid w:val="00DB1818"/>
    <w:rsid w:val="00DC309B"/>
    <w:rsid w:val="00DC4DA2"/>
    <w:rsid w:val="00DC5261"/>
    <w:rsid w:val="00DC549F"/>
    <w:rsid w:val="00DE25D2"/>
    <w:rsid w:val="00DE63AA"/>
    <w:rsid w:val="00DE6E18"/>
    <w:rsid w:val="00DF7C20"/>
    <w:rsid w:val="00E17D09"/>
    <w:rsid w:val="00E43090"/>
    <w:rsid w:val="00E46C08"/>
    <w:rsid w:val="00E471CF"/>
    <w:rsid w:val="00E62835"/>
    <w:rsid w:val="00E74150"/>
    <w:rsid w:val="00E77645"/>
    <w:rsid w:val="00E83697"/>
    <w:rsid w:val="00E859B6"/>
    <w:rsid w:val="00E86EC5"/>
    <w:rsid w:val="00EA0969"/>
    <w:rsid w:val="00EA66C9"/>
    <w:rsid w:val="00EB5D32"/>
    <w:rsid w:val="00EC173F"/>
    <w:rsid w:val="00EC4A25"/>
    <w:rsid w:val="00EF612C"/>
    <w:rsid w:val="00F025A2"/>
    <w:rsid w:val="00F036E9"/>
    <w:rsid w:val="00F07388"/>
    <w:rsid w:val="00F2026E"/>
    <w:rsid w:val="00F2210A"/>
    <w:rsid w:val="00F25A00"/>
    <w:rsid w:val="00F31372"/>
    <w:rsid w:val="00F37743"/>
    <w:rsid w:val="00F54A3D"/>
    <w:rsid w:val="00F54CB0"/>
    <w:rsid w:val="00F579CD"/>
    <w:rsid w:val="00F653B8"/>
    <w:rsid w:val="00F71B89"/>
    <w:rsid w:val="00F7353C"/>
    <w:rsid w:val="00F76F8F"/>
    <w:rsid w:val="00F81C7E"/>
    <w:rsid w:val="00F87257"/>
    <w:rsid w:val="00F93F22"/>
    <w:rsid w:val="00F941DF"/>
    <w:rsid w:val="00FA1266"/>
    <w:rsid w:val="00FA3734"/>
    <w:rsid w:val="00FB36FA"/>
    <w:rsid w:val="00FC1192"/>
    <w:rsid w:val="00FD4FA2"/>
    <w:rsid w:val="00FE106D"/>
    <w:rsid w:val="00FE251B"/>
    <w:rsid w:val="05F17A07"/>
    <w:rsid w:val="1BA2A263"/>
    <w:rsid w:val="2B9A2BB7"/>
    <w:rsid w:val="34368083"/>
    <w:rsid w:val="37DCEE92"/>
    <w:rsid w:val="5899AFC9"/>
    <w:rsid w:val="5B082D3A"/>
    <w:rsid w:val="5F061B3F"/>
    <w:rsid w:val="66452085"/>
    <w:rsid w:val="66F22401"/>
    <w:rsid w:val="6838BEBB"/>
    <w:rsid w:val="7E55D6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E74150"/>
    <w:pPr>
      <w:overflowPunct w:val="0"/>
      <w:autoSpaceDE w:val="0"/>
      <w:autoSpaceDN w:val="0"/>
      <w:adjustRightInd w:val="0"/>
      <w:ind w:left="720"/>
      <w:contextualSpacing/>
      <w:textAlignment w:val="baseline"/>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74150"/>
    <w:rPr>
      <w:lang w:eastAsia="en-US"/>
    </w:rPr>
  </w:style>
  <w:style w:type="character" w:styleId="FollowedHyperlink">
    <w:name w:val="FollowedHyperlink"/>
    <w:basedOn w:val="DefaultParagraphFont"/>
    <w:rsid w:val="00567872"/>
    <w:rPr>
      <w:color w:val="954F72" w:themeColor="followedHyperlink"/>
      <w:u w:val="single"/>
    </w:rPr>
  </w:style>
  <w:style w:type="character" w:styleId="CommentReference">
    <w:name w:val="annotation reference"/>
    <w:basedOn w:val="DefaultParagraphFont"/>
    <w:rsid w:val="00DE6E18"/>
    <w:rPr>
      <w:sz w:val="16"/>
      <w:szCs w:val="16"/>
    </w:rPr>
  </w:style>
  <w:style w:type="paragraph" w:styleId="CommentText">
    <w:name w:val="annotation text"/>
    <w:basedOn w:val="Normal"/>
    <w:link w:val="CommentTextChar"/>
    <w:rsid w:val="00DE6E18"/>
  </w:style>
  <w:style w:type="character" w:customStyle="1" w:styleId="CommentTextChar">
    <w:name w:val="Comment Text Char"/>
    <w:basedOn w:val="DefaultParagraphFont"/>
    <w:link w:val="CommentText"/>
    <w:rsid w:val="00DE6E18"/>
    <w:rPr>
      <w:lang w:eastAsia="en-US"/>
    </w:rPr>
  </w:style>
  <w:style w:type="paragraph" w:styleId="CommentSubject">
    <w:name w:val="annotation subject"/>
    <w:basedOn w:val="CommentText"/>
    <w:next w:val="CommentText"/>
    <w:link w:val="CommentSubjectChar"/>
    <w:rsid w:val="00DE6E18"/>
    <w:rPr>
      <w:b/>
      <w:bCs/>
    </w:rPr>
  </w:style>
  <w:style w:type="character" w:customStyle="1" w:styleId="CommentSubjectChar">
    <w:name w:val="Comment Subject Char"/>
    <w:basedOn w:val="CommentTextChar"/>
    <w:link w:val="CommentSubject"/>
    <w:rsid w:val="00DE6E18"/>
    <w:rPr>
      <w:b/>
      <w:bCs/>
      <w:lang w:eastAsia="en-US"/>
    </w:rPr>
  </w:style>
  <w:style w:type="paragraph" w:customStyle="1" w:styleId="Agreement">
    <w:name w:val="Agreement"/>
    <w:basedOn w:val="Normal"/>
    <w:next w:val="Normal"/>
    <w:uiPriority w:val="99"/>
    <w:qFormat/>
    <w:rsid w:val="00B1452D"/>
    <w:pPr>
      <w:numPr>
        <w:numId w:val="10"/>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042322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8321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9bis-e/Docs/R2-2211054.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19bis-e/Docs/R2-2210778.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5-e/Docs/R2-210914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06-e/Docs/R1-2108529.zip"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5AIRPNAIUNRU-859666464-12970</_dlc_DocId>
    <_dlc_DocIdUrl xmlns="71c5aaf6-e6ce-465b-b873-5148d2a4c105">
      <Url>https://nokia.sharepoint.com/sites/c5g/e2earch/_layouts/15/DocIdRedir.aspx?ID=5AIRPNAIUNRU-859666464-12970</Url>
      <Description>5AIRPNAIUNRU-859666464-12970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D5FCE42-50E8-4F3D-9D1C-4E422B400247}">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4706F31-B1FB-4FDB-B5FA-75A721D2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965</Words>
  <Characters>5502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Lappalainen, Andrew (Nokia - US/Murray Hill)</cp:lastModifiedBy>
  <cp:revision>3</cp:revision>
  <dcterms:created xsi:type="dcterms:W3CDTF">2022-11-03T19:57:00Z</dcterms:created>
  <dcterms:modified xsi:type="dcterms:W3CDTF">2022-11-03T20:00:00Z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1bfa38a1-4191-48f3-94c3-6638926f000d</vt:lpwstr>
  </property>
</Properties>
</file>